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71B" w:rsidRDefault="0020771B" w:rsidP="0020771B">
      <w:pPr>
        <w:pStyle w:val="Dieu-123"/>
        <w:jc w:val="center"/>
        <w:rPr>
          <w:bCs w:val="0"/>
          <w:sz w:val="24"/>
          <w:szCs w:val="24"/>
          <w:lang w:val="it-IT"/>
        </w:rPr>
      </w:pPr>
      <w:bookmarkStart w:id="0" w:name="_GoBack"/>
      <w:r w:rsidRPr="00237FE8">
        <w:rPr>
          <w:sz w:val="24"/>
          <w:szCs w:val="24"/>
          <w:lang w:val="it-IT"/>
        </w:rPr>
        <w:t>Phụ</w:t>
      </w:r>
      <w:r w:rsidRPr="00237FE8">
        <w:rPr>
          <w:bCs w:val="0"/>
          <w:sz w:val="24"/>
          <w:szCs w:val="24"/>
          <w:lang w:val="it-IT"/>
        </w:rPr>
        <w:t xml:space="preserve"> lục </w:t>
      </w:r>
      <w:r>
        <w:rPr>
          <w:bCs w:val="0"/>
          <w:sz w:val="24"/>
          <w:szCs w:val="24"/>
          <w:lang w:val="it-IT"/>
        </w:rPr>
        <w:t>II</w:t>
      </w:r>
    </w:p>
    <w:p w:rsidR="0020771B" w:rsidRPr="00237FE8" w:rsidRDefault="0020771B" w:rsidP="0020771B">
      <w:pPr>
        <w:pStyle w:val="Dieu-123"/>
        <w:jc w:val="center"/>
        <w:rPr>
          <w:bCs w:val="0"/>
          <w:sz w:val="24"/>
          <w:szCs w:val="24"/>
          <w:lang w:val="it-IT"/>
        </w:rPr>
      </w:pPr>
      <w:r w:rsidRPr="00237FE8">
        <w:rPr>
          <w:bCs w:val="0"/>
          <w:sz w:val="24"/>
          <w:szCs w:val="24"/>
          <w:lang w:val="it-IT"/>
        </w:rPr>
        <w:t>NHỮNG VẬT KHÔNG ĐƯỢC PHÉP TRƯNG BÀY TẠI CUỘC THI</w:t>
      </w:r>
      <w:bookmarkEnd w:id="0"/>
    </w:p>
    <w:p w:rsidR="0020771B" w:rsidRDefault="0020771B" w:rsidP="0020771B">
      <w:pPr>
        <w:pStyle w:val="Dieu-123"/>
        <w:jc w:val="center"/>
        <w:rPr>
          <w:b w:val="0"/>
          <w:bCs w:val="0"/>
          <w:i/>
          <w:lang w:val="it-IT"/>
        </w:rPr>
      </w:pPr>
      <w:r w:rsidRPr="00950CD2">
        <w:rPr>
          <w:b w:val="0"/>
          <w:bCs w:val="0"/>
          <w:i/>
          <w:lang w:val="it-IT"/>
        </w:rPr>
        <w:t>(Kèm theo Thông tư  số</w:t>
      </w:r>
      <w:r>
        <w:rPr>
          <w:b w:val="0"/>
          <w:bCs w:val="0"/>
          <w:i/>
          <w:lang w:val="it-IT"/>
        </w:rPr>
        <w:t xml:space="preserve"> 38</w:t>
      </w:r>
      <w:r w:rsidRPr="00950CD2">
        <w:rPr>
          <w:b w:val="0"/>
          <w:bCs w:val="0"/>
          <w:i/>
          <w:lang w:val="it-IT"/>
        </w:rPr>
        <w:t>/2012/TT-BGDĐT ngày</w:t>
      </w:r>
      <w:r>
        <w:rPr>
          <w:b w:val="0"/>
          <w:bCs w:val="0"/>
          <w:i/>
          <w:lang w:val="it-IT"/>
        </w:rPr>
        <w:t xml:space="preserve"> 02</w:t>
      </w:r>
      <w:r w:rsidRPr="00950CD2">
        <w:rPr>
          <w:b w:val="0"/>
          <w:bCs w:val="0"/>
          <w:i/>
          <w:lang w:val="it-IT"/>
        </w:rPr>
        <w:t xml:space="preserve"> tháng</w:t>
      </w:r>
      <w:r>
        <w:rPr>
          <w:b w:val="0"/>
          <w:bCs w:val="0"/>
          <w:i/>
          <w:lang w:val="it-IT"/>
        </w:rPr>
        <w:t xml:space="preserve"> 11</w:t>
      </w:r>
      <w:r w:rsidRPr="00950CD2">
        <w:rPr>
          <w:b w:val="0"/>
          <w:bCs w:val="0"/>
          <w:i/>
          <w:lang w:val="it-IT"/>
        </w:rPr>
        <w:t xml:space="preserve"> năm 2012 </w:t>
      </w:r>
    </w:p>
    <w:p w:rsidR="0020771B" w:rsidRPr="00950CD2" w:rsidRDefault="0020771B" w:rsidP="0020771B">
      <w:pPr>
        <w:pStyle w:val="Dieu-123"/>
        <w:jc w:val="center"/>
        <w:rPr>
          <w:b w:val="0"/>
          <w:bCs w:val="0"/>
          <w:lang w:val="it-IT"/>
        </w:rPr>
      </w:pPr>
      <w:r w:rsidRPr="00950CD2">
        <w:rPr>
          <w:b w:val="0"/>
          <w:bCs w:val="0"/>
          <w:i/>
          <w:lang w:val="it-IT"/>
        </w:rPr>
        <w:t>của Bộ trưởng Bộ Giáo dục và Đào tạo)</w:t>
      </w:r>
    </w:p>
    <w:p w:rsidR="0020771B" w:rsidRPr="00237FE8" w:rsidRDefault="0020771B" w:rsidP="0020771B">
      <w:pPr>
        <w:pStyle w:val="Dieu-123"/>
        <w:jc w:val="center"/>
        <w:rPr>
          <w:bCs w:val="0"/>
          <w:lang w:val="it-IT"/>
        </w:rPr>
      </w:pPr>
    </w:p>
    <w:p w:rsidR="0020771B" w:rsidRDefault="0020771B" w:rsidP="0020771B">
      <w:pPr>
        <w:pStyle w:val="NoidungDieu"/>
        <w:numPr>
          <w:ilvl w:val="0"/>
          <w:numId w:val="2"/>
        </w:numPr>
        <w:rPr>
          <w:lang w:val="it-IT"/>
        </w:rPr>
      </w:pPr>
      <w:r w:rsidRPr="00237FE8">
        <w:rPr>
          <w:lang w:val="it-IT"/>
        </w:rPr>
        <w:t>Sinh vật còn sống</w:t>
      </w:r>
      <w:r>
        <w:rPr>
          <w:lang w:val="it-IT"/>
        </w:rPr>
        <w:t xml:space="preserve"> (bao gồm cả động vật và</w:t>
      </w:r>
      <w:r w:rsidRPr="00237FE8">
        <w:rPr>
          <w:lang w:val="it-IT"/>
        </w:rPr>
        <w:t xml:space="preserve"> thực vật</w:t>
      </w:r>
      <w:r>
        <w:rPr>
          <w:lang w:val="it-IT"/>
        </w:rPr>
        <w:t>)</w:t>
      </w:r>
      <w:r w:rsidRPr="00237FE8">
        <w:rPr>
          <w:lang w:val="it-IT"/>
        </w:rPr>
        <w:t>.</w:t>
      </w:r>
    </w:p>
    <w:p w:rsidR="0020771B" w:rsidRPr="0046393E" w:rsidRDefault="0020771B" w:rsidP="0020771B">
      <w:pPr>
        <w:pStyle w:val="NoidungDieu"/>
        <w:numPr>
          <w:ilvl w:val="0"/>
          <w:numId w:val="2"/>
        </w:numPr>
        <w:rPr>
          <w:lang w:val="it-IT"/>
        </w:rPr>
      </w:pPr>
      <w:r w:rsidRPr="005867D2">
        <w:rPr>
          <w:lang w:val="it-IT"/>
        </w:rPr>
        <w:t xml:space="preserve">Mẫu </w:t>
      </w:r>
      <w:r w:rsidRPr="0046393E">
        <w:rPr>
          <w:lang w:val="it-IT"/>
        </w:rPr>
        <w:t>đất, cát</w:t>
      </w:r>
      <w:r w:rsidRPr="005867D2">
        <w:rPr>
          <w:lang w:val="it-IT"/>
        </w:rPr>
        <w:t xml:space="preserve">, đá, </w:t>
      </w:r>
      <w:r w:rsidRPr="0046393E">
        <w:rPr>
          <w:lang w:val="it-IT"/>
        </w:rPr>
        <w:t>chất thải.</w:t>
      </w:r>
    </w:p>
    <w:p w:rsidR="0020771B" w:rsidRPr="00237FE8" w:rsidRDefault="0020771B" w:rsidP="0020771B">
      <w:pPr>
        <w:pStyle w:val="NoidungDieu"/>
        <w:numPr>
          <w:ilvl w:val="0"/>
          <w:numId w:val="2"/>
        </w:numPr>
        <w:rPr>
          <w:lang w:val="it-IT"/>
        </w:rPr>
      </w:pPr>
      <w:r w:rsidRPr="0046393E">
        <w:rPr>
          <w:lang w:val="it-IT"/>
        </w:rPr>
        <w:t>Xác động vật hoặc một bộ phận xác động vật được nhồi bông.</w:t>
      </w:r>
    </w:p>
    <w:p w:rsidR="0020771B" w:rsidRPr="005C3198" w:rsidRDefault="0020771B" w:rsidP="0020771B">
      <w:pPr>
        <w:pStyle w:val="NoidungDieu"/>
        <w:numPr>
          <w:ilvl w:val="0"/>
          <w:numId w:val="2"/>
        </w:numPr>
        <w:rPr>
          <w:lang w:val="it-IT"/>
        </w:rPr>
      </w:pPr>
      <w:r w:rsidRPr="005C3198">
        <w:rPr>
          <w:lang w:val="it-IT"/>
        </w:rPr>
        <w:t>Động vật có xương sống và không có xương sống được bảo vệ.</w:t>
      </w:r>
    </w:p>
    <w:p w:rsidR="0020771B" w:rsidRPr="00237FE8" w:rsidRDefault="0020771B" w:rsidP="0020771B">
      <w:pPr>
        <w:pStyle w:val="NoidungDieu"/>
        <w:numPr>
          <w:ilvl w:val="0"/>
          <w:numId w:val="2"/>
        </w:numPr>
        <w:rPr>
          <w:lang w:val="it-IT"/>
        </w:rPr>
      </w:pPr>
      <w:r w:rsidRPr="00237FE8">
        <w:rPr>
          <w:lang w:val="it-IT"/>
        </w:rPr>
        <w:t>Thức ăn cho người và động vật.</w:t>
      </w:r>
    </w:p>
    <w:p w:rsidR="0020771B" w:rsidRDefault="0020771B" w:rsidP="0020771B">
      <w:pPr>
        <w:pStyle w:val="NoidungDieu"/>
        <w:numPr>
          <w:ilvl w:val="0"/>
          <w:numId w:val="2"/>
        </w:numPr>
        <w:rPr>
          <w:lang w:val="it-IT"/>
        </w:rPr>
      </w:pPr>
      <w:r w:rsidRPr="00237FE8">
        <w:rPr>
          <w:lang w:val="it-IT"/>
        </w:rPr>
        <w:t xml:space="preserve">Các bộ phận của người, động vật hay chất lỏng của cơ thể </w:t>
      </w:r>
      <w:r>
        <w:rPr>
          <w:lang w:val="it-IT"/>
        </w:rPr>
        <w:t xml:space="preserve">người, động vật </w:t>
      </w:r>
      <w:r w:rsidRPr="00237FE8">
        <w:rPr>
          <w:lang w:val="it-IT"/>
        </w:rPr>
        <w:t xml:space="preserve">(ví dụ: máu, </w:t>
      </w:r>
      <w:r>
        <w:rPr>
          <w:lang w:val="it-IT"/>
        </w:rPr>
        <w:t>nước tiểu</w:t>
      </w:r>
      <w:r w:rsidRPr="00237FE8">
        <w:rPr>
          <w:lang w:val="it-IT"/>
        </w:rPr>
        <w:t>).</w:t>
      </w:r>
    </w:p>
    <w:p w:rsidR="0020771B" w:rsidRPr="00237FE8" w:rsidRDefault="0020771B" w:rsidP="0020771B">
      <w:pPr>
        <w:pStyle w:val="NoidungDieu"/>
        <w:numPr>
          <w:ilvl w:val="0"/>
          <w:numId w:val="2"/>
        </w:numPr>
        <w:rPr>
          <w:lang w:val="it-IT"/>
        </w:rPr>
      </w:pPr>
      <w:r w:rsidRPr="00237FE8">
        <w:rPr>
          <w:lang w:val="it-IT"/>
        </w:rPr>
        <w:t xml:space="preserve">Nguyên liệu thực vật (còn sống, đã chết hay được bảo </w:t>
      </w:r>
      <w:r>
        <w:rPr>
          <w:lang w:val="it-IT"/>
        </w:rPr>
        <w:t>vệ</w:t>
      </w:r>
      <w:r w:rsidRPr="00237FE8">
        <w:rPr>
          <w:lang w:val="it-IT"/>
        </w:rPr>
        <w:t xml:space="preserve">) trong trạng thái sống, chưa chế biến (Ngoại trừ vật liệu xây dựng sử dụng trong thiết kế </w:t>
      </w:r>
      <w:r>
        <w:rPr>
          <w:lang w:val="it-IT"/>
        </w:rPr>
        <w:t xml:space="preserve">dự án </w:t>
      </w:r>
      <w:r w:rsidRPr="00237FE8">
        <w:rPr>
          <w:lang w:val="it-IT"/>
        </w:rPr>
        <w:t>và trưng bày).</w:t>
      </w:r>
    </w:p>
    <w:p w:rsidR="0020771B" w:rsidRPr="00B71F91" w:rsidRDefault="0020771B" w:rsidP="0020771B">
      <w:pPr>
        <w:pStyle w:val="NoidungDieu"/>
        <w:numPr>
          <w:ilvl w:val="0"/>
          <w:numId w:val="2"/>
        </w:numPr>
        <w:rPr>
          <w:lang w:val="it-IT"/>
        </w:rPr>
      </w:pPr>
      <w:r w:rsidRPr="00B71F91">
        <w:rPr>
          <w:lang w:val="it-IT"/>
        </w:rPr>
        <w:t xml:space="preserve">Tất cả các hóa chất </w:t>
      </w:r>
      <w:r>
        <w:rPr>
          <w:lang w:val="it-IT"/>
        </w:rPr>
        <w:t>kể cả</w:t>
      </w:r>
      <w:r w:rsidRPr="00B71F91">
        <w:rPr>
          <w:lang w:val="it-IT"/>
        </w:rPr>
        <w:t xml:space="preserve"> nước (Các dự án không sử dụng nước dưới mọi hình thức để chứng minh).</w:t>
      </w:r>
    </w:p>
    <w:p w:rsidR="0020771B" w:rsidRDefault="0020771B" w:rsidP="0020771B">
      <w:pPr>
        <w:pStyle w:val="NoidungDieu"/>
        <w:numPr>
          <w:ilvl w:val="0"/>
          <w:numId w:val="2"/>
        </w:numPr>
        <w:rPr>
          <w:lang w:val="it-IT"/>
        </w:rPr>
      </w:pPr>
      <w:r w:rsidRPr="00237FE8">
        <w:rPr>
          <w:lang w:val="it-IT"/>
        </w:rPr>
        <w:t>Tất cả các chất</w:t>
      </w:r>
      <w:r>
        <w:rPr>
          <w:lang w:val="it-IT"/>
        </w:rPr>
        <w:t xml:space="preserve"> độc hại</w:t>
      </w:r>
      <w:r w:rsidRPr="00237FE8">
        <w:rPr>
          <w:lang w:val="it-IT"/>
        </w:rPr>
        <w:t xml:space="preserve"> và thiết bị </w:t>
      </w:r>
      <w:r>
        <w:rPr>
          <w:lang w:val="it-IT"/>
        </w:rPr>
        <w:t>nguy hiểm</w:t>
      </w:r>
      <w:r w:rsidRPr="00237FE8">
        <w:rPr>
          <w:lang w:val="it-IT"/>
        </w:rPr>
        <w:t xml:space="preserve"> (ví dụ: chất độc, ma túy, súng, vũ khí, đạn dược, thiết bị laze). </w:t>
      </w:r>
    </w:p>
    <w:p w:rsidR="0020771B" w:rsidRPr="00237FE8" w:rsidRDefault="0020771B" w:rsidP="0020771B">
      <w:pPr>
        <w:pStyle w:val="NoidungDieu"/>
        <w:numPr>
          <w:ilvl w:val="0"/>
          <w:numId w:val="2"/>
        </w:numPr>
        <w:rPr>
          <w:lang w:val="it-IT"/>
        </w:rPr>
      </w:pPr>
      <w:r>
        <w:rPr>
          <w:lang w:val="it-IT"/>
        </w:rPr>
        <w:t xml:space="preserve"> </w:t>
      </w:r>
      <w:r w:rsidRPr="00B71F91">
        <w:rPr>
          <w:lang w:val="it-IT"/>
        </w:rPr>
        <w:t>Nước đá hoặc chất rắn thăng hoa khác.</w:t>
      </w:r>
    </w:p>
    <w:p w:rsidR="0020771B" w:rsidRPr="00237FE8" w:rsidRDefault="0020771B" w:rsidP="0020771B">
      <w:pPr>
        <w:pStyle w:val="NoidungDieu"/>
        <w:numPr>
          <w:ilvl w:val="0"/>
          <w:numId w:val="2"/>
        </w:numPr>
        <w:rPr>
          <w:lang w:val="it-IT"/>
        </w:rPr>
      </w:pPr>
      <w:r>
        <w:rPr>
          <w:lang w:val="it-IT"/>
        </w:rPr>
        <w:t xml:space="preserve"> </w:t>
      </w:r>
      <w:r w:rsidRPr="00237FE8">
        <w:rPr>
          <w:lang w:val="it-IT"/>
        </w:rPr>
        <w:t>Đồ dùng sắc nhọn (ví dụ: xylanh, kim, ống nghiệm, dao)</w:t>
      </w:r>
      <w:r>
        <w:rPr>
          <w:lang w:val="it-IT"/>
        </w:rPr>
        <w:t>.</w:t>
      </w:r>
    </w:p>
    <w:p w:rsidR="0020771B" w:rsidRPr="00237FE8" w:rsidRDefault="0020771B" w:rsidP="0020771B">
      <w:pPr>
        <w:pStyle w:val="NoidungDieu"/>
        <w:numPr>
          <w:ilvl w:val="0"/>
          <w:numId w:val="2"/>
        </w:numPr>
        <w:rPr>
          <w:lang w:val="it-IT"/>
        </w:rPr>
      </w:pPr>
      <w:r>
        <w:rPr>
          <w:lang w:val="it-IT"/>
        </w:rPr>
        <w:t xml:space="preserve"> </w:t>
      </w:r>
      <w:r w:rsidRPr="00237FE8">
        <w:rPr>
          <w:lang w:val="it-IT"/>
        </w:rPr>
        <w:t>Chất gây cháy hay các vật liệu dễ cháy</w:t>
      </w:r>
      <w:r>
        <w:rPr>
          <w:lang w:val="it-IT"/>
        </w:rPr>
        <w:t>.</w:t>
      </w:r>
    </w:p>
    <w:p w:rsidR="0020771B" w:rsidRPr="00C37EE4" w:rsidRDefault="0020771B" w:rsidP="0020771B">
      <w:pPr>
        <w:pStyle w:val="NoidungDieu"/>
        <w:numPr>
          <w:ilvl w:val="0"/>
          <w:numId w:val="2"/>
        </w:numPr>
        <w:rPr>
          <w:lang w:val="it-IT"/>
        </w:rPr>
      </w:pPr>
      <w:r>
        <w:rPr>
          <w:lang w:val="it-IT"/>
        </w:rPr>
        <w:t xml:space="preserve"> </w:t>
      </w:r>
      <w:r w:rsidRPr="00C37EE4">
        <w:rPr>
          <w:lang w:val="it-IT"/>
        </w:rPr>
        <w:t>Pin hở đầu</w:t>
      </w:r>
      <w:r>
        <w:rPr>
          <w:lang w:val="it-IT"/>
        </w:rPr>
        <w:t>.</w:t>
      </w:r>
    </w:p>
    <w:p w:rsidR="0020771B" w:rsidRDefault="0020771B" w:rsidP="0020771B">
      <w:pPr>
        <w:pStyle w:val="NoidungDieu"/>
        <w:numPr>
          <w:ilvl w:val="0"/>
          <w:numId w:val="2"/>
        </w:numPr>
        <w:rPr>
          <w:lang w:val="it-IT"/>
        </w:rPr>
      </w:pPr>
      <w:r>
        <w:rPr>
          <w:lang w:val="it-IT"/>
        </w:rPr>
        <w:t xml:space="preserve"> </w:t>
      </w:r>
      <w:r w:rsidRPr="00C37EE4">
        <w:rPr>
          <w:lang w:val="it-IT"/>
        </w:rPr>
        <w:t>Kính hay vật thể bằng kính trừ trường hợp hội đồng thẩm định hồ sơ dự thi coi là m</w:t>
      </w:r>
      <w:r>
        <w:rPr>
          <w:lang w:val="it-IT"/>
        </w:rPr>
        <w:t>ột cấu phần cần thiết của dự án (ví dụ, kính như một phần cấu thành của một sản phẩm thương mại như màn hình máy tính).</w:t>
      </w:r>
    </w:p>
    <w:p w:rsidR="0020771B" w:rsidRDefault="0020771B" w:rsidP="0020771B">
      <w:pPr>
        <w:pStyle w:val="NoidungDieu"/>
        <w:numPr>
          <w:ilvl w:val="0"/>
          <w:numId w:val="2"/>
        </w:numPr>
        <w:rPr>
          <w:lang w:val="it-IT"/>
        </w:rPr>
      </w:pPr>
      <w:r w:rsidRPr="00CC6999">
        <w:rPr>
          <w:lang w:val="it-IT"/>
        </w:rPr>
        <w:t>Ảnh hay các bài trình diễn trực quan mô tả động vật có xương sống lúc bị mổ xẻ hay đang được xử lý trong phòng thí nghiệm.</w:t>
      </w:r>
    </w:p>
    <w:p w:rsidR="0020771B" w:rsidRPr="00CC6999" w:rsidRDefault="0020771B" w:rsidP="0020771B">
      <w:pPr>
        <w:pStyle w:val="NoidungDieu"/>
        <w:numPr>
          <w:ilvl w:val="0"/>
          <w:numId w:val="2"/>
        </w:numPr>
        <w:rPr>
          <w:lang w:val="it-IT"/>
        </w:rPr>
      </w:pPr>
      <w:r>
        <w:rPr>
          <w:lang w:val="it-IT"/>
        </w:rPr>
        <w:t xml:space="preserve"> </w:t>
      </w:r>
      <w:r w:rsidRPr="00CC6999">
        <w:rPr>
          <w:lang w:val="it-IT"/>
        </w:rPr>
        <w:t xml:space="preserve">Phần thưởng, huy chương, </w:t>
      </w:r>
      <w:r>
        <w:rPr>
          <w:lang w:val="it-IT"/>
        </w:rPr>
        <w:t>danh thiếp</w:t>
      </w:r>
      <w:r w:rsidRPr="00CC6999">
        <w:rPr>
          <w:lang w:val="it-IT"/>
        </w:rPr>
        <w:t>, cờ, lô gô, bằng khen và hay bằng ghi nhận (đồ họa hay bằng văn bản)</w:t>
      </w:r>
      <w:r>
        <w:rPr>
          <w:lang w:val="it-IT"/>
        </w:rPr>
        <w:t>,</w:t>
      </w:r>
      <w:r w:rsidRPr="00CC6999">
        <w:rPr>
          <w:lang w:val="it-IT"/>
        </w:rPr>
        <w:t xml:space="preserve"> trừ những thứ thuộc dự án.</w:t>
      </w:r>
    </w:p>
    <w:p w:rsidR="0020771B" w:rsidRPr="00CC6999" w:rsidRDefault="0020771B" w:rsidP="0020771B">
      <w:pPr>
        <w:pStyle w:val="NoidungDieu"/>
        <w:numPr>
          <w:ilvl w:val="0"/>
          <w:numId w:val="2"/>
        </w:numPr>
        <w:rPr>
          <w:lang w:val="it-IT"/>
        </w:rPr>
      </w:pPr>
      <w:r>
        <w:rPr>
          <w:lang w:val="it-IT"/>
        </w:rPr>
        <w:t xml:space="preserve"> </w:t>
      </w:r>
      <w:r w:rsidRPr="00CC6999">
        <w:rPr>
          <w:lang w:val="it-IT"/>
        </w:rPr>
        <w:t>Địa chỉ bưu chính, website và địa chỉ e-mail, điện thoại, số fax của thí sinh.</w:t>
      </w:r>
    </w:p>
    <w:p w:rsidR="0020771B" w:rsidRPr="00CC6999" w:rsidRDefault="0020771B" w:rsidP="0020771B">
      <w:pPr>
        <w:pStyle w:val="NoidungDieu"/>
        <w:numPr>
          <w:ilvl w:val="0"/>
          <w:numId w:val="2"/>
        </w:numPr>
        <w:rPr>
          <w:lang w:val="it-IT"/>
        </w:rPr>
      </w:pPr>
      <w:r>
        <w:rPr>
          <w:lang w:val="it-IT"/>
        </w:rPr>
        <w:t xml:space="preserve"> </w:t>
      </w:r>
      <w:r w:rsidRPr="00CC6999">
        <w:rPr>
          <w:lang w:val="it-IT"/>
        </w:rPr>
        <w:t xml:space="preserve">Tài liệu hay bản mô tả công trình của những năm trước đó. Ngoại lệ, tiêu đề của công trình được trưng bày trong gian có thể đề cập năm của công trình đó (ví dụ: “Năm thứ hai của </w:t>
      </w:r>
      <w:r>
        <w:rPr>
          <w:lang w:val="it-IT"/>
        </w:rPr>
        <w:t>n</w:t>
      </w:r>
      <w:r w:rsidRPr="00CC6999">
        <w:rPr>
          <w:lang w:val="it-IT"/>
        </w:rPr>
        <w:t>ghiên cứu tiếp diễn”).</w:t>
      </w:r>
    </w:p>
    <w:p w:rsidR="003051BD" w:rsidRDefault="0020771B" w:rsidP="0020771B">
      <w:r>
        <w:rPr>
          <w:lang w:val="it-IT"/>
        </w:rPr>
        <w:t xml:space="preserve"> </w:t>
      </w:r>
      <w:r w:rsidRPr="00C37EE4">
        <w:rPr>
          <w:lang w:val="it-IT"/>
        </w:rPr>
        <w:t>Bất cứ dụng cụ nào bị hội đồng thẩm định hồ sơ dự thi</w:t>
      </w:r>
      <w:r>
        <w:rPr>
          <w:lang w:val="it-IT"/>
        </w:rPr>
        <w:t xml:space="preserve"> coi là không an toàn (ví dụ:</w:t>
      </w:r>
      <w:r w:rsidRPr="00C37EE4">
        <w:rPr>
          <w:lang w:val="it-IT"/>
        </w:rPr>
        <w:t xml:space="preserve"> thiết bị tạo tia nguy hiểm</w:t>
      </w:r>
      <w:r>
        <w:rPr>
          <w:lang w:val="it-IT"/>
        </w:rPr>
        <w:t>,</w:t>
      </w:r>
      <w:r w:rsidRPr="00C37EE4">
        <w:rPr>
          <w:lang w:val="it-IT"/>
        </w:rPr>
        <w:t xml:space="preserve"> bình nén</w:t>
      </w:r>
      <w:r>
        <w:rPr>
          <w:lang w:val="it-IT"/>
        </w:rPr>
        <w:t xml:space="preserve"> khí</w:t>
      </w:r>
      <w:r w:rsidRPr="00C37EE4">
        <w:rPr>
          <w:lang w:val="it-IT"/>
        </w:rPr>
        <w:t>,…).</w:t>
      </w:r>
    </w:p>
    <w:sectPr w:rsidR="003051BD" w:rsidSect="0020771B">
      <w:pgSz w:w="11907" w:h="16839" w:code="9"/>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7B2E09"/>
    <w:multiLevelType w:val="hybridMultilevel"/>
    <w:tmpl w:val="B178B88A"/>
    <w:lvl w:ilvl="0" w:tplc="042A000F">
      <w:start w:val="1"/>
      <w:numFmt w:val="decimal"/>
      <w:lvlText w:val="%1."/>
      <w:lvlJc w:val="left"/>
      <w:pPr>
        <w:tabs>
          <w:tab w:val="num" w:pos="360"/>
        </w:tabs>
        <w:ind w:left="360" w:hanging="360"/>
      </w:pPr>
    </w:lvl>
    <w:lvl w:ilvl="1" w:tplc="042A0019" w:tentative="1">
      <w:start w:val="1"/>
      <w:numFmt w:val="lowerLetter"/>
      <w:lvlText w:val="%2."/>
      <w:lvlJc w:val="left"/>
      <w:pPr>
        <w:tabs>
          <w:tab w:val="num" w:pos="1080"/>
        </w:tabs>
        <w:ind w:left="1080" w:hanging="360"/>
      </w:pPr>
    </w:lvl>
    <w:lvl w:ilvl="2" w:tplc="042A001B" w:tentative="1">
      <w:start w:val="1"/>
      <w:numFmt w:val="lowerRoman"/>
      <w:lvlText w:val="%3."/>
      <w:lvlJc w:val="right"/>
      <w:pPr>
        <w:tabs>
          <w:tab w:val="num" w:pos="1800"/>
        </w:tabs>
        <w:ind w:left="1800" w:hanging="180"/>
      </w:pPr>
    </w:lvl>
    <w:lvl w:ilvl="3" w:tplc="042A000F" w:tentative="1">
      <w:start w:val="1"/>
      <w:numFmt w:val="decimal"/>
      <w:lvlText w:val="%4."/>
      <w:lvlJc w:val="left"/>
      <w:pPr>
        <w:tabs>
          <w:tab w:val="num" w:pos="2520"/>
        </w:tabs>
        <w:ind w:left="2520" w:hanging="360"/>
      </w:pPr>
    </w:lvl>
    <w:lvl w:ilvl="4" w:tplc="042A0019" w:tentative="1">
      <w:start w:val="1"/>
      <w:numFmt w:val="lowerLetter"/>
      <w:lvlText w:val="%5."/>
      <w:lvlJc w:val="left"/>
      <w:pPr>
        <w:tabs>
          <w:tab w:val="num" w:pos="3240"/>
        </w:tabs>
        <w:ind w:left="3240" w:hanging="360"/>
      </w:pPr>
    </w:lvl>
    <w:lvl w:ilvl="5" w:tplc="042A001B" w:tentative="1">
      <w:start w:val="1"/>
      <w:numFmt w:val="lowerRoman"/>
      <w:lvlText w:val="%6."/>
      <w:lvlJc w:val="right"/>
      <w:pPr>
        <w:tabs>
          <w:tab w:val="num" w:pos="3960"/>
        </w:tabs>
        <w:ind w:left="3960" w:hanging="180"/>
      </w:pPr>
    </w:lvl>
    <w:lvl w:ilvl="6" w:tplc="042A000F" w:tentative="1">
      <w:start w:val="1"/>
      <w:numFmt w:val="decimal"/>
      <w:lvlText w:val="%7."/>
      <w:lvlJc w:val="left"/>
      <w:pPr>
        <w:tabs>
          <w:tab w:val="num" w:pos="4680"/>
        </w:tabs>
        <w:ind w:left="4680" w:hanging="360"/>
      </w:pPr>
    </w:lvl>
    <w:lvl w:ilvl="7" w:tplc="042A0019" w:tentative="1">
      <w:start w:val="1"/>
      <w:numFmt w:val="lowerLetter"/>
      <w:lvlText w:val="%8."/>
      <w:lvlJc w:val="left"/>
      <w:pPr>
        <w:tabs>
          <w:tab w:val="num" w:pos="5400"/>
        </w:tabs>
        <w:ind w:left="5400" w:hanging="360"/>
      </w:pPr>
    </w:lvl>
    <w:lvl w:ilvl="8" w:tplc="042A001B" w:tentative="1">
      <w:start w:val="1"/>
      <w:numFmt w:val="lowerRoman"/>
      <w:lvlText w:val="%9."/>
      <w:lvlJc w:val="right"/>
      <w:pPr>
        <w:tabs>
          <w:tab w:val="num" w:pos="6120"/>
        </w:tabs>
        <w:ind w:left="6120" w:hanging="180"/>
      </w:pPr>
    </w:lvl>
  </w:abstractNum>
  <w:abstractNum w:abstractNumId="1">
    <w:nsid w:val="5FC836EA"/>
    <w:multiLevelType w:val="hybridMultilevel"/>
    <w:tmpl w:val="4B4C3B24"/>
    <w:lvl w:ilvl="0" w:tplc="8BB0740E">
      <w:start w:val="1"/>
      <w:numFmt w:val="decimal"/>
      <w:pStyle w:val="NoidungDieu"/>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71B"/>
    <w:rsid w:val="001E79B8"/>
    <w:rsid w:val="0020771B"/>
    <w:rsid w:val="003051BD"/>
    <w:rsid w:val="0038131F"/>
    <w:rsid w:val="00475BA2"/>
    <w:rsid w:val="0048335A"/>
    <w:rsid w:val="004D3BB6"/>
    <w:rsid w:val="004E6008"/>
    <w:rsid w:val="00542B3E"/>
    <w:rsid w:val="00623FD0"/>
    <w:rsid w:val="00665EF6"/>
    <w:rsid w:val="006C618A"/>
    <w:rsid w:val="009E4310"/>
    <w:rsid w:val="00A304A1"/>
    <w:rsid w:val="00B80198"/>
    <w:rsid w:val="00F51ACF"/>
    <w:rsid w:val="00F60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71B"/>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20771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idungDieu">
    <w:name w:val="Noidung_Dieu"/>
    <w:basedOn w:val="Normal"/>
    <w:rsid w:val="0020771B"/>
    <w:pPr>
      <w:numPr>
        <w:numId w:val="1"/>
      </w:numPr>
      <w:spacing w:before="120"/>
      <w:jc w:val="both"/>
    </w:pPr>
    <w:rPr>
      <w:spacing w:val="-2"/>
      <w:sz w:val="28"/>
      <w:szCs w:val="28"/>
    </w:rPr>
  </w:style>
  <w:style w:type="paragraph" w:customStyle="1" w:styleId="Dieu-123">
    <w:name w:val="Dieu-123"/>
    <w:basedOn w:val="Heading3"/>
    <w:rsid w:val="0020771B"/>
    <w:pPr>
      <w:keepLines w:val="0"/>
      <w:spacing w:before="120" w:after="60"/>
      <w:jc w:val="both"/>
    </w:pPr>
    <w:rPr>
      <w:rFonts w:ascii="Times New Roman" w:eastAsia="Calibri" w:hAnsi="Times New Roman" w:cs="Arial"/>
      <w:color w:val="auto"/>
      <w:sz w:val="26"/>
      <w:szCs w:val="26"/>
    </w:rPr>
  </w:style>
  <w:style w:type="character" w:customStyle="1" w:styleId="Heading3Char">
    <w:name w:val="Heading 3 Char"/>
    <w:basedOn w:val="DefaultParagraphFont"/>
    <w:link w:val="Heading3"/>
    <w:uiPriority w:val="9"/>
    <w:semiHidden/>
    <w:rsid w:val="0020771B"/>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71B"/>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20771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idungDieu">
    <w:name w:val="Noidung_Dieu"/>
    <w:basedOn w:val="Normal"/>
    <w:rsid w:val="0020771B"/>
    <w:pPr>
      <w:numPr>
        <w:numId w:val="1"/>
      </w:numPr>
      <w:spacing w:before="120"/>
      <w:jc w:val="both"/>
    </w:pPr>
    <w:rPr>
      <w:spacing w:val="-2"/>
      <w:sz w:val="28"/>
      <w:szCs w:val="28"/>
    </w:rPr>
  </w:style>
  <w:style w:type="paragraph" w:customStyle="1" w:styleId="Dieu-123">
    <w:name w:val="Dieu-123"/>
    <w:basedOn w:val="Heading3"/>
    <w:rsid w:val="0020771B"/>
    <w:pPr>
      <w:keepLines w:val="0"/>
      <w:spacing w:before="120" w:after="60"/>
      <w:jc w:val="both"/>
    </w:pPr>
    <w:rPr>
      <w:rFonts w:ascii="Times New Roman" w:eastAsia="Calibri" w:hAnsi="Times New Roman" w:cs="Arial"/>
      <w:color w:val="auto"/>
      <w:sz w:val="26"/>
      <w:szCs w:val="26"/>
    </w:rPr>
  </w:style>
  <w:style w:type="character" w:customStyle="1" w:styleId="Heading3Char">
    <w:name w:val="Heading 3 Char"/>
    <w:basedOn w:val="DefaultParagraphFont"/>
    <w:link w:val="Heading3"/>
    <w:uiPriority w:val="9"/>
    <w:semiHidden/>
    <w:rsid w:val="0020771B"/>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PGD PHU NHUAN</dc:creator>
  <cp:lastModifiedBy>PGD PHU NHUAN</cp:lastModifiedBy>
  <cp:revision>1</cp:revision>
  <dcterms:created xsi:type="dcterms:W3CDTF">2016-10-04T03:25:00Z</dcterms:created>
  <dcterms:modified xsi:type="dcterms:W3CDTF">2016-10-04T03:26:00Z</dcterms:modified>
</cp:coreProperties>
</file>